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解读</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shd w:val="clear" w:fill="FFFFFF"/>
        </w:rPr>
        <w:t>根据《中华人民共和国企业所得税法》及有关税收政策，税务总局发布了《国家税务总局关于小型微利企业所得税优惠政策征管问题的公告》（以下简称《公告》）。现解读如下：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黑体" w:hAnsi="黑体" w:eastAsia="黑体" w:cs="黑体"/>
          <w:b w:val="0"/>
          <w:bCs/>
          <w:i w:val="0"/>
          <w:caps w:val="0"/>
          <w:color w:val="333333"/>
          <w:spacing w:val="0"/>
          <w:sz w:val="32"/>
          <w:szCs w:val="32"/>
          <w:highlight w:val="none"/>
        </w:rPr>
      </w:pPr>
      <w:r>
        <w:rPr>
          <w:rFonts w:hint="eastAsia" w:ascii="黑体" w:hAnsi="黑体" w:eastAsia="黑体" w:cs="黑体"/>
          <w:b w:val="0"/>
          <w:bCs/>
          <w:i w:val="0"/>
          <w:caps w:val="0"/>
          <w:color w:val="333333"/>
          <w:spacing w:val="0"/>
          <w:sz w:val="32"/>
          <w:szCs w:val="32"/>
          <w:highlight w:val="none"/>
          <w:shd w:val="clear" w:fill="FFFFFF"/>
        </w:rPr>
        <w:t>一、《公告》制定的背景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shd w:val="clear" w:fill="FFFFFF"/>
        </w:rPr>
        <w:t>为贯彻落实党中央、国务院关于实施新的组合式税费支持政策的决策部署，财政部、税务总</w:t>
      </w:r>
      <w:r>
        <w:rPr>
          <w:rFonts w:hint="eastAsia" w:ascii="仿宋_GB2312" w:hAnsi="仿宋_GB2312" w:eastAsia="仿宋_GB2312" w:cs="仿宋_GB2312"/>
          <w:b w:val="0"/>
          <w:bCs w:val="0"/>
          <w:i w:val="0"/>
          <w:caps w:val="0"/>
          <w:color w:val="333333"/>
          <w:spacing w:val="0"/>
          <w:sz w:val="32"/>
          <w:szCs w:val="32"/>
          <w:highlight w:val="none"/>
          <w:shd w:val="clear" w:fill="FFFFFF"/>
        </w:rPr>
        <w:t>局发布了《财政部税务总局关于进一步实施小微企业所得税优惠政策的公告》（2022年第13号），进一步加大小型微利企业所得税优惠力度。为确保广大企业能够及时、准确享受小型微利企业所得税优惠政策，并尽可能保持征管操作的稳定性，税务总局制发了《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黑体" w:hAnsi="黑体" w:eastAsia="黑体" w:cs="黑体"/>
          <w:b w:val="0"/>
          <w:bCs/>
          <w:i w:val="0"/>
          <w:caps w:val="0"/>
          <w:color w:val="333333"/>
          <w:spacing w:val="0"/>
          <w:sz w:val="32"/>
          <w:szCs w:val="32"/>
          <w:highlight w:val="none"/>
        </w:rPr>
      </w:pPr>
      <w:r>
        <w:rPr>
          <w:rFonts w:hint="eastAsia" w:ascii="黑体" w:hAnsi="黑体" w:eastAsia="黑体" w:cs="黑体"/>
          <w:b w:val="0"/>
          <w:bCs/>
          <w:i w:val="0"/>
          <w:caps w:val="0"/>
          <w:color w:val="333333"/>
          <w:spacing w:val="0"/>
          <w:sz w:val="32"/>
          <w:szCs w:val="32"/>
          <w:highlight w:val="none"/>
          <w:shd w:val="clear" w:fill="FFFFFF"/>
        </w:rPr>
        <w:t>二、《公告》的主要内容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楷体_GB2312" w:hAnsi="楷体_GB2312" w:eastAsia="楷体_GB2312" w:cs="楷体_GB2312"/>
          <w:i w:val="0"/>
          <w:caps w:val="0"/>
          <w:color w:val="333333"/>
          <w:spacing w:val="0"/>
          <w:sz w:val="32"/>
          <w:szCs w:val="32"/>
          <w:highlight w:val="none"/>
        </w:rPr>
      </w:pPr>
      <w:r>
        <w:rPr>
          <w:rFonts w:hint="eastAsia" w:ascii="楷体_GB2312" w:hAnsi="楷体_GB2312" w:eastAsia="楷体_GB2312" w:cs="楷体_GB2312"/>
          <w:i w:val="0"/>
          <w:caps w:val="0"/>
          <w:color w:val="333333"/>
          <w:spacing w:val="0"/>
          <w:sz w:val="32"/>
          <w:szCs w:val="32"/>
          <w:highlight w:val="none"/>
          <w:shd w:val="clear" w:fill="FFFFFF"/>
        </w:rPr>
        <w:t>（一）什么是小型微利企业？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小型微利企业是指符合财政部、税务总局规定的可以享受小型微利企业优惠政策的居民企业。目前，居民企业可按照《财政部税务总局关于实施小微企业和个体工商户所得税优惠政策的公告》（2021年第12号）、《财政部税务总局关于进一步实施小微企业所得税优惠政策的公告》（2022年第13号）相关规定，享受小型微利企业所得税优惠政策。今后如政策调整，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（二）企业设立不具有法人资格的分支机构，如何适用小型微利企业所得税优惠政策？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中华人民共和国企业所得税法》第五十条第二款规定，居民企业在中国境内设立不具有法人资格的营业机构的，应当汇总计算并缴纳企业所得税。现行企业所得税实行法人税制，企业应以法人为主体，计算并缴纳企业所得税。因此，企业设立不具有法人资格分支机构的，应当先汇总计算总机构及其各分支机构的从业人数、资产总额、年度应纳税所得额，再依据各指标的合计数判断是否符合小型微利企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（三）企业享受小型微利企业所得税优惠政策，如何办理？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小型微利企业在预缴和汇算清缴企业所得税时均可享受优惠政策，享受政策时无需备案，通过填写企业所得税纳税申报表相关栏次，即可享受。对于通过电子税务局申报的小型微利企业，纳税人只需要填报从业人数、资产总额等基础信息，税务机关将为纳税人提供自动识别、自动计算、自动填报的智能服务，进一步减轻纳税人填报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（四）企业预缴企业所得税时，如何判断是否符合小型微利企业所得税优惠政策条件？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预缴企业所得税时，企业从事国家非限制和禁止行业，可直接按当年度截至本期末的资产总额、从业人数、应纳税所得额等情况判断是否为小型微利企业。其中，资产总额、从业人数指标按照相关政策标准中“全年季度平均值”的计算公式，计算截至本期末的季度平均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目前，小型微利企业的判断标准为：从事国家非限制和禁止行业，且同时符合截至本期末的资产总额季度平均值不超过5000万元、从业人数季度平均值不超过300人、应纳税所得额不超过300万元。今后如调整标准，从其规定，计算方法以此类推。示例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例1.A企业2020年成立，从事国家非限制和禁止行业，2022年各季度的资产总额、从业人数以及累计应纳税所得额情况如下表所示：</w:t>
      </w:r>
    </w:p>
    <w:tbl>
      <w:tblPr>
        <w:tblStyle w:val="3"/>
        <w:tblW w:w="840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28"/>
        <w:gridCol w:w="1260"/>
        <w:gridCol w:w="1260"/>
        <w:gridCol w:w="1260"/>
        <w:gridCol w:w="1260"/>
        <w:gridCol w:w="18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528" w:type="dxa"/>
            <w:vMerge w:val="restart"/>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季度</w:t>
            </w:r>
          </w:p>
        </w:tc>
        <w:tc>
          <w:tcPr>
            <w:tcW w:w="2520" w:type="dxa"/>
            <w:gridSpan w:val="2"/>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从业人数</w:t>
            </w:r>
          </w:p>
        </w:tc>
        <w:tc>
          <w:tcPr>
            <w:tcW w:w="2520" w:type="dxa"/>
            <w:gridSpan w:val="2"/>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资产总额（万元）</w:t>
            </w:r>
          </w:p>
        </w:tc>
        <w:tc>
          <w:tcPr>
            <w:tcW w:w="1833" w:type="dxa"/>
            <w:vMerge w:val="restart"/>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应纳税所得额（累计值，万元）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528" w:type="dxa"/>
            <w:vMerge w:val="continue"/>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期初</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期末</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期初</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期末</w:t>
            </w:r>
          </w:p>
        </w:tc>
        <w:tc>
          <w:tcPr>
            <w:tcW w:w="1833" w:type="dxa"/>
            <w:vMerge w:val="continue"/>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528"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第1季度</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120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4000</w:t>
            </w:r>
          </w:p>
        </w:tc>
        <w:tc>
          <w:tcPr>
            <w:tcW w:w="1833"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528"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第2季度</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400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500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4000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6600</w:t>
            </w:r>
          </w:p>
        </w:tc>
        <w:tc>
          <w:tcPr>
            <w:tcW w:w="1833"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528"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第3季度</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350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6600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7000</w:t>
            </w:r>
          </w:p>
        </w:tc>
        <w:tc>
          <w:tcPr>
            <w:tcW w:w="1833"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528" w:type="dxa"/>
            <w:tcBorders>
              <w:top w:val="single" w:color="auto" w:sz="8" w:space="0"/>
              <w:left w:val="single" w:color="auto" w:sz="12"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第4季度</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220</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210</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7000</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2500</w:t>
            </w:r>
          </w:p>
        </w:tc>
        <w:tc>
          <w:tcPr>
            <w:tcW w:w="1833" w:type="dxa"/>
            <w:tcBorders>
              <w:top w:val="single" w:color="auto" w:sz="8" w:space="0"/>
              <w:left w:val="single" w:color="auto" w:sz="8" w:space="0"/>
              <w:bottom w:val="single" w:color="auto" w:sz="12"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350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解析：A企业在预缴2022年度企业所得税时，判断是否符合小型微利企业条件的具体过程如下：</w:t>
      </w:r>
    </w:p>
    <w:tbl>
      <w:tblPr>
        <w:tblStyle w:val="3"/>
        <w:tblW w:w="1075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6"/>
        <w:gridCol w:w="1039"/>
        <w:gridCol w:w="2098"/>
        <w:gridCol w:w="2163"/>
        <w:gridCol w:w="2391"/>
        <w:gridCol w:w="23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1735" w:type="dxa"/>
            <w:gridSpan w:val="2"/>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指标</w:t>
            </w:r>
          </w:p>
        </w:tc>
        <w:tc>
          <w:tcPr>
            <w:tcW w:w="2098"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第1季度</w:t>
            </w:r>
          </w:p>
        </w:tc>
        <w:tc>
          <w:tcPr>
            <w:tcW w:w="2163"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第2季度</w:t>
            </w:r>
          </w:p>
        </w:tc>
        <w:tc>
          <w:tcPr>
            <w:tcW w:w="2391"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第3季度</w:t>
            </w:r>
          </w:p>
        </w:tc>
        <w:tc>
          <w:tcPr>
            <w:tcW w:w="2364" w:type="dxa"/>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第4季度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696" w:type="dxa"/>
            <w:vMerge w:val="restar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从业人数</w:t>
            </w: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季初</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120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400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350</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季末</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季度平均值</w:t>
            </w:r>
          </w:p>
        </w:tc>
        <w:tc>
          <w:tcPr>
            <w:tcW w:w="209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（120+200）÷2=160</w:t>
            </w:r>
          </w:p>
        </w:tc>
        <w:tc>
          <w:tcPr>
            <w:tcW w:w="216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（400+500）÷2=450</w:t>
            </w:r>
          </w:p>
        </w:tc>
        <w:tc>
          <w:tcPr>
            <w:tcW w:w="2391"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（350+200）÷2=275</w:t>
            </w:r>
          </w:p>
        </w:tc>
        <w:tc>
          <w:tcPr>
            <w:tcW w:w="2364" w:type="dxa"/>
            <w:tcBorders>
              <w:top w:val="nil"/>
              <w:left w:val="single" w:color="auto" w:sz="8" w:space="0"/>
              <w:bottom w:val="single" w:color="auto" w:sz="8" w:space="0"/>
              <w:right w:val="single" w:color="auto" w:sz="12"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（220+210）÷2=215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截至本期末季度平均值</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160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（160+450）÷2=305</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（160+450+275）÷3=295</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（160+450+275+215）÷4=275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 w:hRule="atLeast"/>
          <w:jc w:val="center"/>
        </w:trPr>
        <w:tc>
          <w:tcPr>
            <w:tcW w:w="696" w:type="dxa"/>
            <w:vMerge w:val="restart"/>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资产总额（万元）</w:t>
            </w: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季初</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4000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6600</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7000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5"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季末</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4000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6600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7000</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季度平均值</w:t>
            </w:r>
          </w:p>
        </w:tc>
        <w:tc>
          <w:tcPr>
            <w:tcW w:w="209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（2000+4000）÷2=3000</w:t>
            </w:r>
          </w:p>
        </w:tc>
        <w:tc>
          <w:tcPr>
            <w:tcW w:w="21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（4000+6600）÷2=5300</w:t>
            </w:r>
          </w:p>
        </w:tc>
        <w:tc>
          <w:tcPr>
            <w:tcW w:w="239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（6600+7000）÷2=6800</w:t>
            </w:r>
          </w:p>
        </w:tc>
        <w:tc>
          <w:tcPr>
            <w:tcW w:w="2364" w:type="dxa"/>
            <w:tcBorders>
              <w:top w:val="nil"/>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（7000+2500）÷2=4750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696" w:type="dxa"/>
            <w:vMerge w:val="continue"/>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0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截至本期末季度平均值</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（3000+5300）÷2=4150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（3000+5300+6800）÷3=5033.33</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（3000+5300+6800+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4750）÷4=4962.5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5" w:hRule="atLeast"/>
          <w:jc w:val="center"/>
        </w:trPr>
        <w:tc>
          <w:tcPr>
            <w:tcW w:w="1735" w:type="dxa"/>
            <w:gridSpan w:val="2"/>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应纳税所得额（累计值，万元）</w:t>
            </w:r>
          </w:p>
        </w:tc>
        <w:tc>
          <w:tcPr>
            <w:tcW w:w="209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w:t>
            </w:r>
          </w:p>
        </w:tc>
        <w:tc>
          <w:tcPr>
            <w:tcW w:w="216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c>
          <w:tcPr>
            <w:tcW w:w="2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280</w:t>
            </w:r>
          </w:p>
        </w:tc>
        <w:tc>
          <w:tcPr>
            <w:tcW w:w="2364"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735" w:type="dxa"/>
            <w:gridSpan w:val="2"/>
            <w:tcBorders>
              <w:top w:val="single" w:color="auto" w:sz="8" w:space="0"/>
              <w:left w:val="single" w:color="auto" w:sz="12"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判断结果</w:t>
            </w:r>
          </w:p>
        </w:tc>
        <w:tc>
          <w:tcPr>
            <w:tcW w:w="2098"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符合</w:t>
            </w:r>
          </w:p>
        </w:tc>
        <w:tc>
          <w:tcPr>
            <w:tcW w:w="2163"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不符合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（从业人数超标）</w:t>
            </w:r>
          </w:p>
        </w:tc>
        <w:tc>
          <w:tcPr>
            <w:tcW w:w="2391"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不符合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（资产总额超标）</w:t>
            </w:r>
          </w:p>
        </w:tc>
        <w:tc>
          <w:tcPr>
            <w:tcW w:w="2364" w:type="dxa"/>
            <w:tcBorders>
              <w:top w:val="single" w:color="auto" w:sz="8" w:space="0"/>
              <w:left w:val="single" w:color="auto" w:sz="8" w:space="0"/>
              <w:bottom w:val="single" w:color="auto" w:sz="12"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不符合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（应纳税所得额超标）</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综上，A企业预缴第1季度企业所得税时，可以享受小型微利企业所得税优惠政策；预缴第2、3、4季度企业所得税时，不可以享受小型微利企业所得税优惠政策。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例2.B企业2022年5月成立，从事国家非限制和禁止行业，2022年各季度的资产总额、从业人数以及累计应纳税所得额情况如下表所示：</w:t>
      </w:r>
    </w:p>
    <w:tbl>
      <w:tblPr>
        <w:tblStyle w:val="3"/>
        <w:tblW w:w="83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15"/>
        <w:gridCol w:w="1260"/>
        <w:gridCol w:w="1080"/>
        <w:gridCol w:w="1260"/>
        <w:gridCol w:w="1201"/>
        <w:gridCol w:w="18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715" w:type="dxa"/>
            <w:vMerge w:val="restart"/>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季度</w:t>
            </w:r>
          </w:p>
        </w:tc>
        <w:tc>
          <w:tcPr>
            <w:tcW w:w="2340" w:type="dxa"/>
            <w:gridSpan w:val="2"/>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从业人数</w:t>
            </w:r>
          </w:p>
        </w:tc>
        <w:tc>
          <w:tcPr>
            <w:tcW w:w="2461" w:type="dxa"/>
            <w:gridSpan w:val="2"/>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资产总额（万元）</w:t>
            </w:r>
          </w:p>
        </w:tc>
        <w:tc>
          <w:tcPr>
            <w:tcW w:w="1859" w:type="dxa"/>
            <w:vMerge w:val="restart"/>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应纳税所得额（累计值，万元）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15" w:type="dxa"/>
            <w:vMerge w:val="continue"/>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期初</w:t>
            </w:r>
          </w:p>
        </w:tc>
        <w:tc>
          <w:tcPr>
            <w:tcW w:w="10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期末</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期初</w:t>
            </w:r>
          </w:p>
        </w:tc>
        <w:tc>
          <w:tcPr>
            <w:tcW w:w="120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期末</w:t>
            </w:r>
          </w:p>
        </w:tc>
        <w:tc>
          <w:tcPr>
            <w:tcW w:w="1859" w:type="dxa"/>
            <w:vMerge w:val="continue"/>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shd w:val="clear"/>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15"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第2季度</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100</w:t>
            </w:r>
          </w:p>
        </w:tc>
        <w:tc>
          <w:tcPr>
            <w:tcW w:w="10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1500</w:t>
            </w:r>
          </w:p>
        </w:tc>
        <w:tc>
          <w:tcPr>
            <w:tcW w:w="120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3000</w:t>
            </w:r>
          </w:p>
        </w:tc>
        <w:tc>
          <w:tcPr>
            <w:tcW w:w="1859"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15"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第3季度</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260</w:t>
            </w:r>
          </w:p>
        </w:tc>
        <w:tc>
          <w:tcPr>
            <w:tcW w:w="10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300</w:t>
            </w:r>
          </w:p>
        </w:tc>
        <w:tc>
          <w:tcPr>
            <w:tcW w:w="12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3000</w:t>
            </w:r>
          </w:p>
        </w:tc>
        <w:tc>
          <w:tcPr>
            <w:tcW w:w="120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5000</w:t>
            </w:r>
          </w:p>
        </w:tc>
        <w:tc>
          <w:tcPr>
            <w:tcW w:w="1859"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15" w:type="dxa"/>
            <w:tcBorders>
              <w:top w:val="single" w:color="auto" w:sz="8" w:space="0"/>
              <w:left w:val="single" w:color="auto" w:sz="12"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第4季度</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280</w:t>
            </w:r>
          </w:p>
        </w:tc>
        <w:tc>
          <w:tcPr>
            <w:tcW w:w="108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330</w:t>
            </w:r>
          </w:p>
        </w:tc>
        <w:tc>
          <w:tcPr>
            <w:tcW w:w="12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5000</w:t>
            </w:r>
          </w:p>
        </w:tc>
        <w:tc>
          <w:tcPr>
            <w:tcW w:w="1201"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6000</w:t>
            </w:r>
          </w:p>
        </w:tc>
        <w:tc>
          <w:tcPr>
            <w:tcW w:w="1859" w:type="dxa"/>
            <w:tcBorders>
              <w:top w:val="single" w:color="auto" w:sz="8" w:space="0"/>
              <w:left w:val="single" w:color="auto" w:sz="8" w:space="0"/>
              <w:bottom w:val="single" w:color="auto" w:sz="12" w:space="0"/>
              <w:right w:val="single" w:color="auto" w:sz="12"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sz w:val="21"/>
                <w:szCs w:val="21"/>
              </w:rPr>
              <w:t>280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解析：B企业在预缴2022年度企业所得税时，判断是否符合小型微利企业条件的具体过程如下：</w:t>
      </w:r>
    </w:p>
    <w:tbl>
      <w:tblPr>
        <w:tblStyle w:val="3"/>
        <w:tblW w:w="941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6"/>
        <w:gridCol w:w="1439"/>
        <w:gridCol w:w="2149"/>
        <w:gridCol w:w="2463"/>
        <w:gridCol w:w="27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2035" w:type="dxa"/>
            <w:gridSpan w:val="2"/>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指标</w:t>
            </w:r>
          </w:p>
        </w:tc>
        <w:tc>
          <w:tcPr>
            <w:tcW w:w="2160"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第2季度</w:t>
            </w:r>
          </w:p>
        </w:tc>
        <w:tc>
          <w:tcPr>
            <w:tcW w:w="2480"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第3季度</w:t>
            </w:r>
          </w:p>
        </w:tc>
        <w:tc>
          <w:tcPr>
            <w:tcW w:w="2741" w:type="dxa"/>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538"/>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第4季度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从业人数</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季初</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260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季末</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季度平均值</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（100+200）÷2=150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（260+300）÷2=280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（280+330）÷2=305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截至本期末季度平均值</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（150+280）÷2=215</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（150+280+305）÷3=245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资产总额（万元）</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季初</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季末</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5000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6000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季度平均值</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（1500+3000）÷2=2250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（3000+5000）÷2=4000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（5000+6000）÷2=5500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jc w:val="center"/>
        </w:trPr>
        <w:tc>
          <w:tcPr>
            <w:tcW w:w="576"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left"/>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 </w:t>
            </w:r>
          </w:p>
        </w:tc>
        <w:tc>
          <w:tcPr>
            <w:tcW w:w="145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截至本期末季度平均值</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2250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（2250+4000）÷2=3125</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（2250+4000+5500）÷3=3916.67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2035" w:type="dxa"/>
            <w:gridSpan w:val="2"/>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应纳税所得额(累计值，万元)</w:t>
            </w:r>
          </w:p>
        </w:tc>
        <w:tc>
          <w:tcPr>
            <w:tcW w:w="21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c>
          <w:tcPr>
            <w:tcW w:w="248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350</w:t>
            </w:r>
          </w:p>
        </w:tc>
        <w:tc>
          <w:tcPr>
            <w:tcW w:w="2741"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2035" w:type="dxa"/>
            <w:gridSpan w:val="2"/>
            <w:tcBorders>
              <w:top w:val="single" w:color="auto" w:sz="8" w:space="0"/>
              <w:left w:val="single" w:color="auto" w:sz="12"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判断结果</w:t>
            </w:r>
          </w:p>
        </w:tc>
        <w:tc>
          <w:tcPr>
            <w:tcW w:w="216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符合</w:t>
            </w:r>
          </w:p>
        </w:tc>
        <w:tc>
          <w:tcPr>
            <w:tcW w:w="2480"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不符合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（应纳税所得额超标）</w:t>
            </w:r>
          </w:p>
        </w:tc>
        <w:tc>
          <w:tcPr>
            <w:tcW w:w="2741" w:type="dxa"/>
            <w:tcBorders>
              <w:top w:val="single" w:color="auto" w:sz="8" w:space="0"/>
              <w:left w:val="single" w:color="auto" w:sz="8" w:space="0"/>
              <w:bottom w:val="single" w:color="auto" w:sz="12"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符合</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综上，B企业预缴第2、4季度企业所得税时，可以享受小型微利企业所得税优惠政策；预缴第3季度企业所得税时，不可以享受小型微利企业所得税优惠政策。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（五）企业预缴企业所得税时，如何计算小型微利企业减免税额？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目前，小型微利企业年应纳税所得额不超过100万元、超过100万元但不超过300万元的部分，分别减按12.5%、25%计入应纳税所得额，按20%的税率缴纳企业所得税。今后如调整政策，从其规定，计算方法以此类推。示例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例3.C企业2022年第1季度不符合小型微利企业条件，第2季度和第3季度符合小型微利企业条件，第1季度至第3季度预缴企业所得税时，相应的累计应纳税所得额分别为20万元、100万元、200万元。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解析：C企业在预缴2022年第1季度至第3季度企业所得税时，实际应纳所得税额和减免税额的计算过程如下：</w:t>
      </w:r>
    </w:p>
    <w:tbl>
      <w:tblPr>
        <w:tblStyle w:val="3"/>
        <w:tblW w:w="92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0"/>
        <w:gridCol w:w="2247"/>
        <w:gridCol w:w="2565"/>
        <w:gridCol w:w="28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660" w:type="dxa"/>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计算过程</w:t>
            </w:r>
          </w:p>
        </w:tc>
        <w:tc>
          <w:tcPr>
            <w:tcW w:w="2247"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第1季度</w:t>
            </w:r>
          </w:p>
        </w:tc>
        <w:tc>
          <w:tcPr>
            <w:tcW w:w="2565" w:type="dxa"/>
            <w:tcBorders>
              <w:top w:val="single" w:color="auto" w:sz="12"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第2季度</w:t>
            </w:r>
          </w:p>
        </w:tc>
        <w:tc>
          <w:tcPr>
            <w:tcW w:w="2818" w:type="dxa"/>
            <w:tcBorders>
              <w:top w:val="single" w:color="auto" w:sz="12"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color w:val="333333"/>
                <w:kern w:val="0"/>
                <w:sz w:val="21"/>
                <w:szCs w:val="21"/>
                <w:lang w:val="en-US" w:eastAsia="zh-CN" w:bidi="ar"/>
              </w:rPr>
              <w:t>第3季度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val="0"/>
                <w:color w:val="333333"/>
                <w:kern w:val="0"/>
                <w:sz w:val="21"/>
                <w:szCs w:val="21"/>
                <w:lang w:val="en-US" w:eastAsia="zh-CN" w:bidi="ar"/>
              </w:rPr>
              <w:t>预缴时，判断是否为小型微利企业</w:t>
            </w:r>
          </w:p>
        </w:tc>
        <w:tc>
          <w:tcPr>
            <w:tcW w:w="22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b w:val="0"/>
                <w:color w:val="333333"/>
                <w:kern w:val="0"/>
                <w:sz w:val="21"/>
                <w:szCs w:val="21"/>
                <w:lang w:val="en-US" w:eastAsia="zh-CN" w:bidi="ar"/>
              </w:rPr>
              <w:t>不符合</w:t>
            </w:r>
            <w:r>
              <w:rPr>
                <w:rFonts w:hint="eastAsia" w:ascii="宋体" w:hAnsi="宋体" w:eastAsia="宋体" w:cs="宋体"/>
                <w:color w:val="333333"/>
                <w:kern w:val="0"/>
                <w:sz w:val="21"/>
                <w:szCs w:val="21"/>
                <w:lang w:val="en-US" w:eastAsia="zh-CN" w:bidi="ar"/>
              </w:rPr>
              <w:t>小型微利企业条件</w:t>
            </w:r>
          </w:p>
        </w:tc>
        <w:tc>
          <w:tcPr>
            <w:tcW w:w="25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符合小型微利企业条件</w:t>
            </w:r>
          </w:p>
        </w:tc>
        <w:tc>
          <w:tcPr>
            <w:tcW w:w="2818"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符合小型微利企业条件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应纳税所得额（累计值，万元）</w:t>
            </w:r>
          </w:p>
        </w:tc>
        <w:tc>
          <w:tcPr>
            <w:tcW w:w="22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w:t>
            </w:r>
          </w:p>
        </w:tc>
        <w:tc>
          <w:tcPr>
            <w:tcW w:w="25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w:t>
            </w:r>
          </w:p>
        </w:tc>
        <w:tc>
          <w:tcPr>
            <w:tcW w:w="2818"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实际应纳所得税额（累计值，万元）</w:t>
            </w:r>
          </w:p>
        </w:tc>
        <w:tc>
          <w:tcPr>
            <w:tcW w:w="22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20×25%=5</w:t>
            </w:r>
          </w:p>
        </w:tc>
        <w:tc>
          <w:tcPr>
            <w:tcW w:w="25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100×12.5%×20%=2.5</w:t>
            </w:r>
          </w:p>
        </w:tc>
        <w:tc>
          <w:tcPr>
            <w:tcW w:w="2818"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100×12.5%×20%+（200-100）×25%×20%=7.5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本期应补（退）所得税额（万元）</w:t>
            </w:r>
          </w:p>
        </w:tc>
        <w:tc>
          <w:tcPr>
            <w:tcW w:w="22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w:t>
            </w:r>
          </w:p>
        </w:tc>
        <w:tc>
          <w:tcPr>
            <w:tcW w:w="25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（2.5-5&lt;0，本季度应缴税款为0）</w:t>
            </w:r>
          </w:p>
        </w:tc>
        <w:tc>
          <w:tcPr>
            <w:tcW w:w="2818"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7.5-5=2.5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已纳所得税额（累计值，万元）</w:t>
            </w:r>
          </w:p>
        </w:tc>
        <w:tc>
          <w:tcPr>
            <w:tcW w:w="224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w:t>
            </w:r>
          </w:p>
        </w:tc>
        <w:tc>
          <w:tcPr>
            <w:tcW w:w="25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5+0=5</w:t>
            </w:r>
          </w:p>
        </w:tc>
        <w:tc>
          <w:tcPr>
            <w:tcW w:w="2818" w:type="dxa"/>
            <w:tcBorders>
              <w:top w:val="single" w:color="auto" w:sz="8" w:space="0"/>
              <w:left w:val="single" w:color="auto" w:sz="8" w:space="0"/>
              <w:bottom w:val="single" w:color="auto" w:sz="8"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5+0+2.5=7.5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660" w:type="dxa"/>
            <w:tcBorders>
              <w:top w:val="single" w:color="auto" w:sz="8" w:space="0"/>
              <w:left w:val="single" w:color="auto" w:sz="12"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减免所得税额（累计值，万元）</w:t>
            </w:r>
          </w:p>
        </w:tc>
        <w:tc>
          <w:tcPr>
            <w:tcW w:w="2247"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20×25%-5=0</w:t>
            </w:r>
          </w:p>
        </w:tc>
        <w:tc>
          <w:tcPr>
            <w:tcW w:w="2565" w:type="dxa"/>
            <w:tcBorders>
              <w:top w:val="single" w:color="auto" w:sz="8" w:space="0"/>
              <w:left w:val="single" w:color="auto" w:sz="8" w:space="0"/>
              <w:bottom w:val="single" w:color="auto" w:sz="12"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100×25%-2.5=22.5</w:t>
            </w:r>
          </w:p>
        </w:tc>
        <w:tc>
          <w:tcPr>
            <w:tcW w:w="2818" w:type="dxa"/>
            <w:tcBorders>
              <w:top w:val="single" w:color="auto" w:sz="8" w:space="0"/>
              <w:left w:val="single" w:color="auto" w:sz="8" w:space="0"/>
              <w:bottom w:val="single" w:color="auto" w:sz="12" w:space="0"/>
              <w:right w:val="single" w:color="auto" w:sz="12"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tLeast"/>
              <w:ind w:left="0" w:right="0"/>
              <w:jc w:val="cente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200×25%-7.5=42.5</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综上，C企业预缴2022年第1、2、3季度企业所得税时，分别减免企业所得税0元、22.5万元、42.5万元，分别缴纳企业所得税5万元、0元、2.5万元。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（六）小型微利企业的企业所得税预缴期限如何确定？</w:t>
      </w:r>
    </w:p>
    <w:p>
      <w:r>
        <w:rPr>
          <w:rFonts w:hint="eastAsia" w:ascii="仿宋_GB2312" w:hAnsi="仿宋_GB2312" w:eastAsia="仿宋_GB2312" w:cs="仿宋_GB2312"/>
          <w:i w:val="0"/>
          <w:caps w:val="0"/>
          <w:color w:val="333333"/>
          <w:spacing w:val="0"/>
          <w:sz w:val="32"/>
          <w:szCs w:val="32"/>
          <w:shd w:val="clear" w:fill="FFFFFF"/>
        </w:rPr>
        <w:t>为了推进办税便利化改革，根据《国家税务总局关于合理简并纳税人申报缴税次数的公告》（2016年第6号），自2016年4月开始，小型微利企业统一实行按季度预缴企业所得税。因此，按月度预缴企业所得税的企业，在年度中间4月、7月、10月的纳税申报期进行预缴申报时，如果按照规定判断为小型微利企业的，其纳税期限将统一调整为按季度预缴。同时，为了避免年度内频繁调整纳税期限，《公告》规定，一经调整为按季度预缴，当年度内不再变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Njg4ZmY1NzU0MzkxMDRiYzE4NDM0ZDRjZmJhM2IifQ=="/>
  </w:docVars>
  <w:rsids>
    <w:rsidRoot w:val="00000000"/>
    <w:rsid w:val="1DCD7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2022-05-23T01:54:17Z</dcterms:created>
  <dc:creator>Administrator</dc:creator>
  <cp:lastModifiedBy>幸福会长大～</cp:lastModifiedBy>
  <dcterms:modified xsi:type="dcterms:W3CDTF">2022-05-23T01:54:21Z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665B138C19CD4004B507DC58A9409963</vt:lpwstr>
  </property>
</Properties>
</file>